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847E2" w14:textId="1FEA17CF" w:rsidR="00C40379" w:rsidRPr="00C81A67" w:rsidRDefault="00C40379" w:rsidP="004E1AFD">
      <w:pPr>
        <w:pStyle w:val="a3"/>
        <w:jc w:val="center"/>
        <w:rPr>
          <w:b/>
          <w:bCs/>
          <w:sz w:val="28"/>
          <w:szCs w:val="28"/>
          <w:lang w:val="en-GB"/>
        </w:rPr>
      </w:pPr>
      <w:bookmarkStart w:id="0" w:name="_GoBack"/>
      <w:bookmarkEnd w:id="0"/>
      <w:r w:rsidRPr="00C81A67">
        <w:rPr>
          <w:b/>
          <w:bCs/>
          <w:sz w:val="28"/>
          <w:szCs w:val="28"/>
          <w:lang w:val="en-GB"/>
        </w:rPr>
        <w:t>List of data sets of the Kyiv Regional Prosecutor’s Office subject to disclosure in the form of open data</w:t>
      </w:r>
    </w:p>
    <w:p w14:paraId="2C313092" w14:textId="6AE7F960" w:rsidR="004E1AFD" w:rsidRPr="00C81A67" w:rsidRDefault="004E1AFD" w:rsidP="00C81A67">
      <w:pPr>
        <w:pStyle w:val="a3"/>
        <w:jc w:val="both"/>
        <w:rPr>
          <w:sz w:val="28"/>
          <w:szCs w:val="28"/>
          <w:lang w:val="en-GB"/>
        </w:rPr>
      </w:pPr>
      <w:r w:rsidRPr="00C81A67">
        <w:rPr>
          <w:sz w:val="28"/>
          <w:szCs w:val="28"/>
          <w:lang w:val="en-GB"/>
        </w:rPr>
        <w:t>1. Schedule for reception of citizens at the regional prosecutor’s office;</w:t>
      </w:r>
    </w:p>
    <w:p w14:paraId="76212C39" w14:textId="6056B875" w:rsidR="004E1AFD" w:rsidRPr="00C81A67" w:rsidRDefault="004E1AFD" w:rsidP="00C81A67">
      <w:pPr>
        <w:pStyle w:val="a3"/>
        <w:jc w:val="both"/>
        <w:rPr>
          <w:sz w:val="28"/>
          <w:szCs w:val="28"/>
          <w:lang w:val="en-GB"/>
        </w:rPr>
      </w:pPr>
      <w:r w:rsidRPr="00C81A67">
        <w:rPr>
          <w:sz w:val="28"/>
          <w:szCs w:val="28"/>
          <w:lang w:val="en-GB"/>
        </w:rPr>
        <w:t>2. List of data sets to be published in the form of open data;</w:t>
      </w:r>
    </w:p>
    <w:p w14:paraId="3870F73B" w14:textId="77777777" w:rsidR="004E1AFD" w:rsidRPr="00C81A67" w:rsidRDefault="004E1AFD" w:rsidP="00C81A67">
      <w:pPr>
        <w:pStyle w:val="a3"/>
        <w:jc w:val="both"/>
        <w:rPr>
          <w:sz w:val="28"/>
          <w:szCs w:val="28"/>
          <w:lang w:val="en-GB"/>
        </w:rPr>
      </w:pPr>
      <w:r w:rsidRPr="00C81A67">
        <w:rPr>
          <w:sz w:val="28"/>
          <w:szCs w:val="28"/>
          <w:lang w:val="en-GB"/>
        </w:rPr>
        <w:t>3. Accounting system, types of information held by the prosecution authorities;</w:t>
      </w:r>
    </w:p>
    <w:p w14:paraId="60C9702B" w14:textId="77777777" w:rsidR="004E1AFD" w:rsidRPr="00C81A67" w:rsidRDefault="004E1AFD" w:rsidP="00C81A67">
      <w:pPr>
        <w:pStyle w:val="a3"/>
        <w:jc w:val="both"/>
        <w:rPr>
          <w:sz w:val="28"/>
          <w:szCs w:val="28"/>
          <w:lang w:val="en-GB"/>
        </w:rPr>
      </w:pPr>
      <w:r w:rsidRPr="00C81A67">
        <w:rPr>
          <w:sz w:val="28"/>
          <w:szCs w:val="28"/>
          <w:lang w:val="en-GB"/>
        </w:rPr>
        <w:t>4. Procedure for compiling and submitting requests for information;</w:t>
      </w:r>
    </w:p>
    <w:p w14:paraId="2581832A" w14:textId="77777777" w:rsidR="004E1AFD" w:rsidRPr="00C81A67" w:rsidRDefault="004E1AFD" w:rsidP="00C81A67">
      <w:pPr>
        <w:pStyle w:val="a3"/>
        <w:jc w:val="both"/>
        <w:rPr>
          <w:sz w:val="28"/>
          <w:szCs w:val="28"/>
          <w:lang w:val="en-GB"/>
        </w:rPr>
      </w:pPr>
      <w:r w:rsidRPr="00C81A67">
        <w:rPr>
          <w:sz w:val="28"/>
          <w:szCs w:val="28"/>
          <w:lang w:val="en-GB"/>
        </w:rPr>
        <w:t>5. Location of places where relevant forms are provided to applicants;</w:t>
      </w:r>
    </w:p>
    <w:p w14:paraId="7491B55A" w14:textId="77777777" w:rsidR="004E1AFD" w:rsidRPr="00C81A67" w:rsidRDefault="004E1AFD" w:rsidP="00C81A67">
      <w:pPr>
        <w:pStyle w:val="a3"/>
        <w:jc w:val="both"/>
        <w:rPr>
          <w:sz w:val="28"/>
          <w:szCs w:val="28"/>
          <w:lang w:val="en-GB"/>
        </w:rPr>
      </w:pPr>
      <w:r w:rsidRPr="00C81A67">
        <w:rPr>
          <w:sz w:val="28"/>
          <w:szCs w:val="28"/>
          <w:lang w:val="en-GB"/>
        </w:rPr>
        <w:t>6. Reports on the satisfaction of requests for information;</w:t>
      </w:r>
    </w:p>
    <w:p w14:paraId="14E72865" w14:textId="77777777" w:rsidR="004E1AFD" w:rsidRPr="00C81A67" w:rsidRDefault="004E1AFD" w:rsidP="00C81A67">
      <w:pPr>
        <w:pStyle w:val="a3"/>
        <w:jc w:val="both"/>
        <w:rPr>
          <w:sz w:val="28"/>
          <w:szCs w:val="28"/>
          <w:lang w:val="en-GB"/>
        </w:rPr>
      </w:pPr>
      <w:r w:rsidRPr="00C81A67">
        <w:rPr>
          <w:sz w:val="28"/>
          <w:szCs w:val="28"/>
          <w:lang w:val="en-GB"/>
        </w:rPr>
        <w:t>7. Procedure for appealing against decisions of officials of the Ukrainian prosecution authorities, their actions or inaction in relation to the consideration of requests for information;</w:t>
      </w:r>
    </w:p>
    <w:p w14:paraId="03057759" w14:textId="5939A115" w:rsidR="004E1AFD" w:rsidRPr="00C81A67" w:rsidRDefault="004E1AFD" w:rsidP="00C81A67">
      <w:pPr>
        <w:pStyle w:val="a3"/>
        <w:jc w:val="both"/>
        <w:rPr>
          <w:sz w:val="28"/>
          <w:szCs w:val="28"/>
          <w:lang w:val="en-GB"/>
        </w:rPr>
      </w:pPr>
      <w:r w:rsidRPr="00C81A67">
        <w:rPr>
          <w:sz w:val="28"/>
          <w:szCs w:val="28"/>
          <w:lang w:val="en-GB"/>
        </w:rPr>
        <w:t>8. Orders of the regional prosecutor</w:t>
      </w:r>
      <w:r w:rsidR="005C4472" w:rsidRPr="00C81A67">
        <w:rPr>
          <w:sz w:val="28"/>
          <w:szCs w:val="28"/>
          <w:lang w:val="en-GB"/>
        </w:rPr>
        <w:t>’</w:t>
      </w:r>
      <w:r w:rsidRPr="00C81A67">
        <w:rPr>
          <w:sz w:val="28"/>
          <w:szCs w:val="28"/>
          <w:lang w:val="en-GB"/>
        </w:rPr>
        <w:t>s office on key issues of the prosecutor’s office’s activities;</w:t>
      </w:r>
    </w:p>
    <w:p w14:paraId="03C03DD8" w14:textId="3E3AD5A4" w:rsidR="004E1AFD" w:rsidRPr="00C81A67" w:rsidRDefault="004E1AFD" w:rsidP="00C81A67">
      <w:pPr>
        <w:pStyle w:val="a3"/>
        <w:jc w:val="both"/>
        <w:rPr>
          <w:sz w:val="28"/>
          <w:szCs w:val="28"/>
          <w:lang w:val="en-GB"/>
        </w:rPr>
      </w:pPr>
      <w:r w:rsidRPr="00C81A67">
        <w:rPr>
          <w:sz w:val="28"/>
          <w:szCs w:val="28"/>
          <w:lang w:val="en-GB"/>
        </w:rPr>
        <w:t>9. Functions and powers of the prosecutor’s office;</w:t>
      </w:r>
    </w:p>
    <w:p w14:paraId="478302EF" w14:textId="77777777" w:rsidR="005313FB" w:rsidRPr="00C81A67" w:rsidRDefault="005313FB" w:rsidP="00C81A67">
      <w:pPr>
        <w:pStyle w:val="a3"/>
        <w:jc w:val="both"/>
        <w:rPr>
          <w:sz w:val="28"/>
          <w:szCs w:val="28"/>
          <w:lang w:val="en-GB"/>
        </w:rPr>
      </w:pPr>
      <w:r w:rsidRPr="00C81A67">
        <w:rPr>
          <w:sz w:val="28"/>
          <w:szCs w:val="28"/>
          <w:lang w:val="en-GB"/>
        </w:rPr>
        <w:t>10. Organisational structure of the prosecution authorities;</w:t>
      </w:r>
    </w:p>
    <w:p w14:paraId="08145BD3" w14:textId="77777777" w:rsidR="005313FB" w:rsidRPr="00C81A67" w:rsidRDefault="005313FB" w:rsidP="00C81A67">
      <w:pPr>
        <w:pStyle w:val="a3"/>
        <w:jc w:val="both"/>
        <w:rPr>
          <w:sz w:val="28"/>
          <w:szCs w:val="28"/>
          <w:lang w:val="en-GB"/>
        </w:rPr>
      </w:pPr>
      <w:r w:rsidRPr="00C81A67">
        <w:rPr>
          <w:sz w:val="28"/>
          <w:szCs w:val="28"/>
          <w:lang w:val="en-GB"/>
        </w:rPr>
        <w:t>11. Internal service (labour) regulations;</w:t>
      </w:r>
    </w:p>
    <w:p w14:paraId="10136EB1" w14:textId="4B813618" w:rsidR="005313FB" w:rsidRPr="00C81A67" w:rsidRDefault="005313FB" w:rsidP="00C81A67">
      <w:pPr>
        <w:pStyle w:val="a3"/>
        <w:jc w:val="both"/>
        <w:rPr>
          <w:sz w:val="28"/>
          <w:szCs w:val="28"/>
          <w:lang w:val="en-GB"/>
        </w:rPr>
      </w:pPr>
      <w:r w:rsidRPr="00C81A67">
        <w:rPr>
          <w:sz w:val="28"/>
          <w:szCs w:val="28"/>
          <w:lang w:val="en-GB"/>
        </w:rPr>
        <w:t>12. Surnames, first names and patronymics of the heads of regional and district prosecutor</w:t>
      </w:r>
      <w:r w:rsidR="005C4472" w:rsidRPr="00C81A67">
        <w:rPr>
          <w:sz w:val="28"/>
          <w:szCs w:val="28"/>
          <w:lang w:val="en-GB"/>
        </w:rPr>
        <w:t>’</w:t>
      </w:r>
      <w:r w:rsidRPr="00C81A67">
        <w:rPr>
          <w:sz w:val="28"/>
          <w:szCs w:val="28"/>
          <w:lang w:val="en-GB"/>
        </w:rPr>
        <w:t xml:space="preserve">s offices and their structural subdivisions (except in cases where this information is classified); </w:t>
      </w:r>
    </w:p>
    <w:p w14:paraId="548A4940" w14:textId="77777777" w:rsidR="005313FB" w:rsidRPr="00C81A67" w:rsidRDefault="005313FB" w:rsidP="00C81A67">
      <w:pPr>
        <w:pStyle w:val="a3"/>
        <w:jc w:val="both"/>
        <w:rPr>
          <w:sz w:val="28"/>
          <w:szCs w:val="28"/>
          <w:lang w:val="en-GB"/>
        </w:rPr>
      </w:pPr>
      <w:r w:rsidRPr="00C81A67">
        <w:rPr>
          <w:sz w:val="28"/>
          <w:szCs w:val="28"/>
          <w:lang w:val="en-GB"/>
        </w:rPr>
        <w:t>13. Procedure for conducting competitions for civil service positions;</w:t>
      </w:r>
    </w:p>
    <w:p w14:paraId="58290AFE" w14:textId="77777777" w:rsidR="005313FB" w:rsidRPr="00C81A67" w:rsidRDefault="005313FB" w:rsidP="00C81A67">
      <w:pPr>
        <w:pStyle w:val="a3"/>
        <w:jc w:val="both"/>
        <w:rPr>
          <w:sz w:val="28"/>
          <w:szCs w:val="28"/>
          <w:lang w:val="en-GB"/>
        </w:rPr>
      </w:pPr>
      <w:r w:rsidRPr="00C81A67">
        <w:rPr>
          <w:sz w:val="28"/>
          <w:szCs w:val="28"/>
          <w:lang w:val="en-GB"/>
        </w:rPr>
        <w:t>14. Vacant civil service positions, decisions on announcing competitions and their conditions;</w:t>
      </w:r>
    </w:p>
    <w:p w14:paraId="01FBD945" w14:textId="77777777" w:rsidR="005C4472" w:rsidRPr="00C81A67" w:rsidRDefault="005C4472" w:rsidP="00C81A67">
      <w:pPr>
        <w:pStyle w:val="a3"/>
        <w:jc w:val="both"/>
        <w:rPr>
          <w:sz w:val="28"/>
          <w:szCs w:val="28"/>
          <w:lang w:val="en-GB"/>
        </w:rPr>
      </w:pPr>
      <w:r w:rsidRPr="00C81A67">
        <w:rPr>
          <w:sz w:val="28"/>
          <w:szCs w:val="28"/>
          <w:lang w:val="en-GB"/>
        </w:rPr>
        <w:t>15. Results of the competition for vacant civil service positions;</w:t>
      </w:r>
    </w:p>
    <w:p w14:paraId="35CAEC0E" w14:textId="77777777" w:rsidR="005C4472" w:rsidRPr="00C81A67" w:rsidRDefault="005C4472" w:rsidP="00C81A67">
      <w:pPr>
        <w:pStyle w:val="a3"/>
        <w:jc w:val="both"/>
        <w:rPr>
          <w:sz w:val="28"/>
          <w:szCs w:val="28"/>
          <w:lang w:val="en-GB"/>
        </w:rPr>
      </w:pPr>
      <w:r w:rsidRPr="00C81A67">
        <w:rPr>
          <w:sz w:val="28"/>
          <w:szCs w:val="28"/>
          <w:lang w:val="en-GB"/>
        </w:rPr>
        <w:t>16. Information on the start of the verification process in accordance with the Law of Ukraine ‘On Purification of Government’ and its results regarding officials and civil servants of the prosecutor's office;</w:t>
      </w:r>
    </w:p>
    <w:p w14:paraId="44CEB393" w14:textId="12E5908D" w:rsidR="005C4472" w:rsidRPr="00C81A67" w:rsidRDefault="005C4472" w:rsidP="00C81A67">
      <w:pPr>
        <w:pStyle w:val="a3"/>
        <w:jc w:val="both"/>
        <w:rPr>
          <w:sz w:val="28"/>
          <w:szCs w:val="28"/>
          <w:lang w:val="en-GB"/>
        </w:rPr>
      </w:pPr>
      <w:r w:rsidRPr="00C81A67">
        <w:rPr>
          <w:sz w:val="28"/>
          <w:szCs w:val="28"/>
          <w:lang w:val="en-GB"/>
        </w:rPr>
        <w:t xml:space="preserve">17. Address of the official website of the regional prosecutor’s office; </w:t>
      </w:r>
    </w:p>
    <w:p w14:paraId="15C34B6E" w14:textId="3D283E0C" w:rsidR="00233FD5" w:rsidRPr="00C81A67" w:rsidRDefault="00233FD5" w:rsidP="00C81A67">
      <w:pPr>
        <w:pStyle w:val="a3"/>
        <w:jc w:val="both"/>
        <w:rPr>
          <w:sz w:val="28"/>
          <w:szCs w:val="28"/>
          <w:lang w:val="en-GB"/>
        </w:rPr>
      </w:pPr>
      <w:r w:rsidRPr="00C81A67">
        <w:rPr>
          <w:sz w:val="28"/>
          <w:szCs w:val="28"/>
          <w:lang w:val="en-GB"/>
        </w:rPr>
        <w:t>18. Email address of the regional prosecutor</w:t>
      </w:r>
      <w:r w:rsidR="00C81A67">
        <w:rPr>
          <w:sz w:val="28"/>
          <w:szCs w:val="28"/>
          <w:lang w:val="en-GB"/>
        </w:rPr>
        <w:t>’</w:t>
      </w:r>
      <w:r w:rsidRPr="00C81A67">
        <w:rPr>
          <w:sz w:val="28"/>
          <w:szCs w:val="28"/>
          <w:lang w:val="en-GB"/>
        </w:rPr>
        <w:t>s office;</w:t>
      </w:r>
    </w:p>
    <w:p w14:paraId="00318585" w14:textId="77777777" w:rsidR="00233FD5" w:rsidRPr="00C81A67" w:rsidRDefault="00233FD5" w:rsidP="00C81A67">
      <w:pPr>
        <w:pStyle w:val="a3"/>
        <w:jc w:val="both"/>
        <w:rPr>
          <w:sz w:val="28"/>
          <w:szCs w:val="28"/>
          <w:lang w:val="en-GB"/>
        </w:rPr>
      </w:pPr>
      <w:r w:rsidRPr="00C81A67">
        <w:rPr>
          <w:sz w:val="28"/>
          <w:szCs w:val="28"/>
          <w:lang w:val="en-GB"/>
        </w:rPr>
        <w:lastRenderedPageBreak/>
        <w:t>19. Data on financial resources (structure and volume of budget funds, procedure and mechanism for their expenditure);</w:t>
      </w:r>
    </w:p>
    <w:p w14:paraId="06DBE888" w14:textId="07EDE74B" w:rsidR="00233FD5" w:rsidRPr="00C81A67" w:rsidRDefault="00233FD5" w:rsidP="00C81A67">
      <w:pPr>
        <w:pStyle w:val="a3"/>
        <w:jc w:val="both"/>
        <w:rPr>
          <w:sz w:val="28"/>
          <w:szCs w:val="28"/>
          <w:lang w:val="en-GB"/>
        </w:rPr>
      </w:pPr>
      <w:r w:rsidRPr="00C81A67">
        <w:rPr>
          <w:sz w:val="28"/>
          <w:szCs w:val="28"/>
          <w:lang w:val="en-GB"/>
        </w:rPr>
        <w:t>20. Location (postal addresses) of the Kyiv regional and district prosecutor</w:t>
      </w:r>
      <w:r w:rsidR="00C81A67">
        <w:rPr>
          <w:sz w:val="28"/>
          <w:szCs w:val="28"/>
          <w:lang w:val="en-GB"/>
        </w:rPr>
        <w:t>’</w:t>
      </w:r>
      <w:r w:rsidRPr="00C81A67">
        <w:rPr>
          <w:sz w:val="28"/>
          <w:szCs w:val="28"/>
          <w:lang w:val="en-GB"/>
        </w:rPr>
        <w:t>s offices;</w:t>
      </w:r>
    </w:p>
    <w:p w14:paraId="2DFB8536" w14:textId="77777777" w:rsidR="00C81A67" w:rsidRPr="00C81A67" w:rsidRDefault="00C81A67" w:rsidP="00C81A67">
      <w:pPr>
        <w:pStyle w:val="a3"/>
        <w:jc w:val="both"/>
        <w:rPr>
          <w:sz w:val="28"/>
          <w:szCs w:val="28"/>
          <w:lang w:val="en-GB"/>
        </w:rPr>
      </w:pPr>
      <w:r w:rsidRPr="00C81A67">
        <w:rPr>
          <w:sz w:val="28"/>
          <w:szCs w:val="28"/>
          <w:lang w:val="en-GB"/>
        </w:rPr>
        <w:t>21. Information on annual procurement plans;</w:t>
      </w:r>
    </w:p>
    <w:p w14:paraId="25324169" w14:textId="77777777" w:rsidR="00C81A67" w:rsidRPr="00C81A67" w:rsidRDefault="00C81A67" w:rsidP="00C81A67">
      <w:pPr>
        <w:pStyle w:val="a3"/>
        <w:jc w:val="both"/>
        <w:rPr>
          <w:sz w:val="28"/>
          <w:szCs w:val="28"/>
          <w:lang w:val="en-GB"/>
        </w:rPr>
      </w:pPr>
      <w:r w:rsidRPr="00C81A67">
        <w:rPr>
          <w:sz w:val="28"/>
          <w:szCs w:val="28"/>
          <w:lang w:val="en-GB"/>
        </w:rPr>
        <w:t>22. Statistical information on the state of criminal illegality and the results of prosecutorial activities (taking into account the requirements for the procedure for recording documents containing official information).</w:t>
      </w:r>
    </w:p>
    <w:p w14:paraId="0BE7369C" w14:textId="77777777" w:rsidR="005C4472" w:rsidRPr="00C81A67" w:rsidRDefault="005C4472" w:rsidP="005C4472">
      <w:pPr>
        <w:pStyle w:val="a3"/>
        <w:rPr>
          <w:sz w:val="28"/>
          <w:szCs w:val="28"/>
          <w:lang w:val="en-GB"/>
        </w:rPr>
      </w:pPr>
    </w:p>
    <w:p w14:paraId="79EF3F96" w14:textId="77777777" w:rsidR="004E1AFD" w:rsidRPr="00C81A67" w:rsidRDefault="004E1AFD" w:rsidP="004E1AFD">
      <w:pPr>
        <w:pStyle w:val="a3"/>
        <w:jc w:val="both"/>
        <w:rPr>
          <w:sz w:val="28"/>
          <w:szCs w:val="28"/>
          <w:lang w:val="en-GB"/>
        </w:rPr>
      </w:pPr>
    </w:p>
    <w:p w14:paraId="625E8340" w14:textId="77777777" w:rsidR="00455F08" w:rsidRPr="00C81A67" w:rsidRDefault="00455F08" w:rsidP="004E1AFD">
      <w:pPr>
        <w:jc w:val="both"/>
        <w:rPr>
          <w:rFonts w:ascii="Times New Roman" w:hAnsi="Times New Roman" w:cs="Times New Roman"/>
          <w:sz w:val="28"/>
          <w:szCs w:val="28"/>
          <w:lang w:val="en-GB"/>
        </w:rPr>
      </w:pPr>
    </w:p>
    <w:sectPr w:rsidR="00455F08" w:rsidRPr="00C81A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702"/>
    <w:rsid w:val="001C2002"/>
    <w:rsid w:val="00233FD5"/>
    <w:rsid w:val="00354932"/>
    <w:rsid w:val="00412125"/>
    <w:rsid w:val="00455F08"/>
    <w:rsid w:val="004E1AFD"/>
    <w:rsid w:val="005313FB"/>
    <w:rsid w:val="005C4472"/>
    <w:rsid w:val="008B2765"/>
    <w:rsid w:val="00AD3C0F"/>
    <w:rsid w:val="00C40379"/>
    <w:rsid w:val="00C81A67"/>
    <w:rsid w:val="00DD0702"/>
    <w:rsid w:val="00E029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8C378"/>
  <w15:chartTrackingRefBased/>
  <w15:docId w15:val="{ABE53214-F99F-4D5E-BC12-AE67BE28E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40379"/>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252378">
      <w:bodyDiv w:val="1"/>
      <w:marLeft w:val="0"/>
      <w:marRight w:val="0"/>
      <w:marTop w:val="0"/>
      <w:marBottom w:val="0"/>
      <w:divBdr>
        <w:top w:val="none" w:sz="0" w:space="0" w:color="auto"/>
        <w:left w:val="none" w:sz="0" w:space="0" w:color="auto"/>
        <w:bottom w:val="none" w:sz="0" w:space="0" w:color="auto"/>
        <w:right w:val="none" w:sz="0" w:space="0" w:color="auto"/>
      </w:divBdr>
    </w:div>
    <w:div w:id="222066136">
      <w:bodyDiv w:val="1"/>
      <w:marLeft w:val="0"/>
      <w:marRight w:val="0"/>
      <w:marTop w:val="0"/>
      <w:marBottom w:val="0"/>
      <w:divBdr>
        <w:top w:val="none" w:sz="0" w:space="0" w:color="auto"/>
        <w:left w:val="none" w:sz="0" w:space="0" w:color="auto"/>
        <w:bottom w:val="none" w:sz="0" w:space="0" w:color="auto"/>
        <w:right w:val="none" w:sz="0" w:space="0" w:color="auto"/>
      </w:divBdr>
    </w:div>
    <w:div w:id="810054180">
      <w:bodyDiv w:val="1"/>
      <w:marLeft w:val="0"/>
      <w:marRight w:val="0"/>
      <w:marTop w:val="0"/>
      <w:marBottom w:val="0"/>
      <w:divBdr>
        <w:top w:val="none" w:sz="0" w:space="0" w:color="auto"/>
        <w:left w:val="none" w:sz="0" w:space="0" w:color="auto"/>
        <w:bottom w:val="none" w:sz="0" w:space="0" w:color="auto"/>
        <w:right w:val="none" w:sz="0" w:space="0" w:color="auto"/>
      </w:divBdr>
    </w:div>
    <w:div w:id="989558770">
      <w:bodyDiv w:val="1"/>
      <w:marLeft w:val="0"/>
      <w:marRight w:val="0"/>
      <w:marTop w:val="0"/>
      <w:marBottom w:val="0"/>
      <w:divBdr>
        <w:top w:val="none" w:sz="0" w:space="0" w:color="auto"/>
        <w:left w:val="none" w:sz="0" w:space="0" w:color="auto"/>
        <w:bottom w:val="none" w:sz="0" w:space="0" w:color="auto"/>
        <w:right w:val="none" w:sz="0" w:space="0" w:color="auto"/>
      </w:divBdr>
    </w:div>
    <w:div w:id="1105534470">
      <w:bodyDiv w:val="1"/>
      <w:marLeft w:val="0"/>
      <w:marRight w:val="0"/>
      <w:marTop w:val="0"/>
      <w:marBottom w:val="0"/>
      <w:divBdr>
        <w:top w:val="none" w:sz="0" w:space="0" w:color="auto"/>
        <w:left w:val="none" w:sz="0" w:space="0" w:color="auto"/>
        <w:bottom w:val="none" w:sz="0" w:space="0" w:color="auto"/>
        <w:right w:val="none" w:sz="0" w:space="0" w:color="auto"/>
      </w:divBdr>
    </w:div>
    <w:div w:id="1254167394">
      <w:bodyDiv w:val="1"/>
      <w:marLeft w:val="0"/>
      <w:marRight w:val="0"/>
      <w:marTop w:val="0"/>
      <w:marBottom w:val="0"/>
      <w:divBdr>
        <w:top w:val="none" w:sz="0" w:space="0" w:color="auto"/>
        <w:left w:val="none" w:sz="0" w:space="0" w:color="auto"/>
        <w:bottom w:val="none" w:sz="0" w:space="0" w:color="auto"/>
        <w:right w:val="none" w:sz="0" w:space="0" w:color="auto"/>
      </w:divBdr>
    </w:div>
    <w:div w:id="1821920300">
      <w:bodyDiv w:val="1"/>
      <w:marLeft w:val="0"/>
      <w:marRight w:val="0"/>
      <w:marTop w:val="0"/>
      <w:marBottom w:val="0"/>
      <w:divBdr>
        <w:top w:val="none" w:sz="0" w:space="0" w:color="auto"/>
        <w:left w:val="none" w:sz="0" w:space="0" w:color="auto"/>
        <w:bottom w:val="none" w:sz="0" w:space="0" w:color="auto"/>
        <w:right w:val="none" w:sz="0" w:space="0" w:color="auto"/>
      </w:divBdr>
    </w:div>
    <w:div w:id="1990212573">
      <w:bodyDiv w:val="1"/>
      <w:marLeft w:val="0"/>
      <w:marRight w:val="0"/>
      <w:marTop w:val="0"/>
      <w:marBottom w:val="0"/>
      <w:divBdr>
        <w:top w:val="none" w:sz="0" w:space="0" w:color="auto"/>
        <w:left w:val="none" w:sz="0" w:space="0" w:color="auto"/>
        <w:bottom w:val="none" w:sz="0" w:space="0" w:color="auto"/>
        <w:right w:val="none" w:sz="0" w:space="0" w:color="auto"/>
      </w:divBdr>
    </w:div>
    <w:div w:id="201387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1880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Доценко О.С.</cp:lastModifiedBy>
  <cp:revision>2</cp:revision>
  <dcterms:created xsi:type="dcterms:W3CDTF">2025-08-12T09:53:00Z</dcterms:created>
  <dcterms:modified xsi:type="dcterms:W3CDTF">2025-08-12T09:53:00Z</dcterms:modified>
</cp:coreProperties>
</file>